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8B" w:rsidRPr="00FC738B" w:rsidRDefault="00FC738B" w:rsidP="00FC738B">
      <w:pPr>
        <w:tabs>
          <w:tab w:val="left" w:pos="5670"/>
          <w:tab w:val="left" w:pos="6663"/>
          <w:tab w:val="left" w:pos="7513"/>
          <w:tab w:val="left" w:pos="793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36"/>
          <w:szCs w:val="20"/>
          <w:lang w:eastAsia="ru-RU"/>
        </w:rPr>
      </w:pPr>
      <w:r w:rsidRPr="00FC738B">
        <w:rPr>
          <w:rFonts w:ascii="Times New Roman" w:eastAsia="Times New Roman" w:hAnsi="Times New Roman" w:cs="Times New Roman"/>
          <w:noProof/>
          <w:spacing w:val="8"/>
          <w:sz w:val="26"/>
          <w:szCs w:val="26"/>
          <w:lang w:eastAsia="ru-RU"/>
        </w:rPr>
        <w:drawing>
          <wp:inline distT="0" distB="0" distL="0" distR="0" wp14:anchorId="3BC99BBE" wp14:editId="40688E3B">
            <wp:extent cx="533400" cy="609600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8B" w:rsidRPr="00FC738B" w:rsidRDefault="00FC738B" w:rsidP="00FC738B">
      <w:pPr>
        <w:tabs>
          <w:tab w:val="left" w:pos="5670"/>
          <w:tab w:val="left" w:pos="6663"/>
          <w:tab w:val="left" w:pos="7513"/>
          <w:tab w:val="left" w:pos="793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36"/>
          <w:szCs w:val="20"/>
          <w:lang w:eastAsia="ru-RU"/>
        </w:rPr>
      </w:pPr>
      <w:r w:rsidRPr="00FC738B">
        <w:rPr>
          <w:rFonts w:ascii="Times New Roman" w:eastAsia="Times New Roman" w:hAnsi="Times New Roman" w:cs="Times New Roman"/>
          <w:b/>
          <w:spacing w:val="8"/>
          <w:sz w:val="36"/>
          <w:szCs w:val="20"/>
          <w:lang w:eastAsia="ru-RU"/>
        </w:rPr>
        <w:t>Совет депутатов  Большеигнатовского  муниципального района Республики  Мордовия</w:t>
      </w:r>
    </w:p>
    <w:p w:rsidR="00FC738B" w:rsidRPr="00FC738B" w:rsidRDefault="00FC738B" w:rsidP="00FC738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0"/>
          <w:u w:val="single"/>
          <w:lang w:eastAsia="ru-RU"/>
        </w:rPr>
      </w:pPr>
    </w:p>
    <w:p w:rsidR="00FC738B" w:rsidRPr="00514171" w:rsidRDefault="00FC738B" w:rsidP="00FC738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36"/>
          <w:szCs w:val="36"/>
          <w:lang w:eastAsia="ru-RU"/>
        </w:rPr>
      </w:pPr>
      <w:r w:rsidRPr="00514171">
        <w:rPr>
          <w:rFonts w:ascii="Times New Roman" w:eastAsia="Times New Roman" w:hAnsi="Times New Roman" w:cs="Times New Roman"/>
          <w:b/>
          <w:spacing w:val="8"/>
          <w:sz w:val="36"/>
          <w:szCs w:val="36"/>
          <w:lang w:eastAsia="ru-RU"/>
        </w:rPr>
        <w:t>РЕШЕНИЕ</w:t>
      </w:r>
    </w:p>
    <w:p w:rsidR="00FC738B" w:rsidRPr="00FC738B" w:rsidRDefault="00FC738B" w:rsidP="00FC738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</w:pPr>
      <w:r w:rsidRPr="00FC738B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Совета депутатов Большеигнатовского муниципального района </w:t>
      </w:r>
      <w:r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седьмого</w:t>
      </w:r>
      <w:r w:rsidRPr="00FC738B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 созыва</w:t>
      </w:r>
    </w:p>
    <w:p w:rsidR="00FC738B" w:rsidRPr="00FC738B" w:rsidRDefault="00FC738B" w:rsidP="00FC738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C738B">
        <w:rPr>
          <w:rFonts w:ascii="Times New Roman" w:eastAsia="Times New Roman" w:hAnsi="Times New Roman" w:cs="Times New Roman"/>
          <w:b/>
          <w:spacing w:val="8"/>
          <w:sz w:val="28"/>
          <w:szCs w:val="20"/>
          <w:lang w:eastAsia="ru-RU"/>
        </w:rPr>
        <w:tab/>
      </w:r>
    </w:p>
    <w:p w:rsidR="00FC738B" w:rsidRPr="00FC738B" w:rsidRDefault="00FC738B" w:rsidP="00FC738B">
      <w:pPr>
        <w:tabs>
          <w:tab w:val="left" w:pos="-2552"/>
          <w:tab w:val="left" w:pos="0"/>
          <w:tab w:val="left" w:pos="3705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sz w:val="28"/>
          <w:szCs w:val="20"/>
          <w:lang w:eastAsia="ru-RU"/>
        </w:rPr>
      </w:pPr>
    </w:p>
    <w:p w:rsidR="00FC738B" w:rsidRPr="00FC738B" w:rsidRDefault="00FC738B" w:rsidP="00FC738B">
      <w:pPr>
        <w:tabs>
          <w:tab w:val="left" w:pos="-2552"/>
          <w:tab w:val="right" w:pos="10632"/>
        </w:tabs>
        <w:spacing w:after="0" w:line="240" w:lineRule="auto"/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</w:pPr>
      <w:r w:rsidRPr="00FC738B"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>от «</w:t>
      </w:r>
      <w:r w:rsidR="00312BD1"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>26</w:t>
      </w:r>
      <w:r w:rsidRPr="00FC738B"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>» декабря 20</w:t>
      </w:r>
      <w:r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>24</w:t>
      </w:r>
      <w:r w:rsidRPr="00FC738B"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 xml:space="preserve"> г.                                                          </w:t>
      </w:r>
      <w:r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>№</w:t>
      </w:r>
      <w:r w:rsidR="00312BD1"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 xml:space="preserve"> 171</w:t>
      </w:r>
      <w:bookmarkStart w:id="0" w:name="_GoBack"/>
      <w:bookmarkEnd w:id="0"/>
    </w:p>
    <w:p w:rsidR="00BA7828" w:rsidRDefault="00FC738B" w:rsidP="00BA7828">
      <w:pPr>
        <w:tabs>
          <w:tab w:val="left" w:pos="-2552"/>
          <w:tab w:val="right" w:pos="10632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C738B">
        <w:rPr>
          <w:rFonts w:ascii="Times New Roman" w:eastAsia="Times New Roman" w:hAnsi="Times New Roman" w:cs="Times New Roman"/>
          <w:spacing w:val="8"/>
          <w:sz w:val="28"/>
          <w:szCs w:val="20"/>
          <w:lang w:eastAsia="ru-RU"/>
        </w:rPr>
        <w:t xml:space="preserve">                                                </w:t>
      </w:r>
      <w:r w:rsidRPr="00FC738B">
        <w:rPr>
          <w:rFonts w:ascii="Times New Roman" w:eastAsia="Times New Roman" w:hAnsi="Times New Roman" w:cs="Times New Roman"/>
          <w:szCs w:val="20"/>
          <w:lang w:eastAsia="ru-RU"/>
        </w:rPr>
        <w:t>с. Большое Игнатово</w:t>
      </w:r>
    </w:p>
    <w:p w:rsidR="00FC738B" w:rsidRPr="00BA7828" w:rsidRDefault="00FC738B" w:rsidP="00BA7828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FC738B">
        <w:rPr>
          <w:rFonts w:ascii="Times New Roman" w:eastAsia="Calibri" w:hAnsi="Times New Roman" w:cs="Times New Roman"/>
          <w:lang w:eastAsia="ru-RU"/>
        </w:rPr>
        <w:br/>
      </w:r>
      <w:r w:rsidRPr="00BA7828">
        <w:rPr>
          <w:rFonts w:ascii="Times New Roman" w:eastAsia="Calibri" w:hAnsi="Times New Roman" w:cs="Times New Roman"/>
          <w:sz w:val="28"/>
          <w:szCs w:val="28"/>
          <w:lang w:eastAsia="ru-RU"/>
        </w:rPr>
        <w:t>О передаче осуществления</w:t>
      </w:r>
      <w:r w:rsidR="00062970" w:rsidRPr="00BA78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7828">
        <w:rPr>
          <w:rFonts w:ascii="Times New Roman" w:eastAsia="Calibri" w:hAnsi="Times New Roman" w:cs="Times New Roman"/>
          <w:sz w:val="28"/>
          <w:szCs w:val="28"/>
          <w:lang w:eastAsia="ru-RU"/>
        </w:rPr>
        <w:t>полномочий Большеигнатовского муниципального района по</w:t>
      </w:r>
      <w:r w:rsidRPr="00BA7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</w:t>
      </w:r>
      <w:hyperlink r:id="rId7" w:history="1">
        <w:r w:rsidRPr="00BA782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жилищным законодательством</w:t>
        </w:r>
      </w:hyperlink>
      <w:r w:rsidR="00062970" w:rsidRPr="00BA78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A7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78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сельским поселениям Большеигнатовского муниципального района </w:t>
      </w:r>
    </w:p>
    <w:p w:rsidR="00FC738B" w:rsidRPr="00FC738B" w:rsidRDefault="00FC738B" w:rsidP="00FC738B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8B" w:rsidRPr="00FC738B" w:rsidRDefault="00FC738B" w:rsidP="00FC7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соответствии с </w:t>
      </w:r>
      <w:hyperlink r:id="rId8" w:history="1">
        <w:r w:rsidRPr="00FC738B">
          <w:rPr>
            <w:rFonts w:ascii="Times New Roman" w:eastAsia="Calibri" w:hAnsi="Times New Roman" w:cs="Times New Roman"/>
            <w:bCs/>
            <w:color w:val="106BBE"/>
            <w:sz w:val="28"/>
            <w:szCs w:val="28"/>
            <w:lang w:eastAsia="ru-RU"/>
          </w:rPr>
          <w:t>частью 4 статьи 15</w:t>
        </w:r>
      </w:hyperlink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6 октября 2003 года № 131-ФЗ "Об общих принципах организации местного самоуправления в Российской Федерации", руководствуясь </w:t>
      </w:r>
      <w:hyperlink r:id="rId9" w:history="1">
        <w:r w:rsidRPr="00FC738B">
          <w:rPr>
            <w:rFonts w:ascii="Times New Roman" w:eastAsia="Calibri" w:hAnsi="Times New Roman" w:cs="Times New Roman"/>
            <w:bCs/>
            <w:color w:val="106BBE"/>
            <w:sz w:val="28"/>
            <w:szCs w:val="28"/>
            <w:lang w:eastAsia="ru-RU"/>
          </w:rPr>
          <w:t>Уставом</w:t>
        </w:r>
      </w:hyperlink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Большеигнатовского муниципального района Республики Мордовия,        Совет депутатов Большеигнатовского муниципального района</w:t>
      </w:r>
      <w:r w:rsidRPr="00FC7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9A1413" w:rsidRPr="009A1413" w:rsidRDefault="00FC738B" w:rsidP="009A1413">
      <w:pPr>
        <w:pStyle w:val="a5"/>
        <w:numPr>
          <w:ilvl w:val="0"/>
          <w:numId w:val="1"/>
        </w:numPr>
        <w:spacing w:after="0" w:line="240" w:lineRule="auto"/>
        <w:ind w:left="0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Передать</w:t>
      </w:r>
      <w:r w:rsidR="009A1413" w:rsidRPr="009A1413">
        <w:rPr>
          <w:rFonts w:ascii="Times New Roman" w:hAnsi="Times New Roman" w:cs="Times New Roman"/>
          <w:sz w:val="28"/>
          <w:szCs w:val="28"/>
        </w:rPr>
        <w:t xml:space="preserve"> осуществление полномочий Большеигнатовского муниципального района по </w:t>
      </w:r>
      <w:r w:rsidR="009A1413"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</w:t>
      </w:r>
      <w:hyperlink r:id="rId10" w:history="1">
        <w:r w:rsidR="009A1413" w:rsidRPr="009A141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жилищным законодательством</w:t>
        </w:r>
      </w:hyperlink>
      <w:r w:rsidR="000629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1413"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местного самоуправления </w:t>
      </w:r>
      <w:r w:rsidR="0019102A" w:rsidRPr="009A1413">
        <w:rPr>
          <w:rFonts w:ascii="Times New Roman" w:hAnsi="Times New Roman" w:cs="Times New Roman"/>
          <w:sz w:val="28"/>
          <w:szCs w:val="28"/>
        </w:rPr>
        <w:t>Андреевского, Кучкаевского, Протасовского, Старочамзинского сельских поселений Большеигнатовского муниципального района</w:t>
      </w:r>
      <w:r w:rsidR="0019102A"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  <w:r w:rsidR="009A1413"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1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Направить настоящее Решение на рассмотрение органам местного самоуправления сельск</w:t>
      </w:r>
      <w:r w:rsidR="0019102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19102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Большеигнатовского муниципального района Республики Мордовия.</w:t>
      </w:r>
    </w:p>
    <w:p w:rsidR="00FC738B" w:rsidRPr="00340E4D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3.</w:t>
      </w:r>
      <w:r w:rsidRPr="00FC738B">
        <w:rPr>
          <w:rFonts w:ascii="Times New Roman" w:eastAsia="Times New Roman" w:hAnsi="Times New Roman" w:cs="Times New Roman"/>
          <w:sz w:val="28"/>
          <w:szCs w:val="28"/>
        </w:rPr>
        <w:t xml:space="preserve"> В случае получения согласия органов местного самоуправления сельск</w:t>
      </w:r>
      <w:r w:rsidR="0006297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C738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06297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C738B">
        <w:rPr>
          <w:rFonts w:ascii="Times New Roman" w:eastAsia="Times New Roman" w:hAnsi="Times New Roman" w:cs="Times New Roman"/>
          <w:sz w:val="28"/>
          <w:szCs w:val="28"/>
        </w:rPr>
        <w:t xml:space="preserve"> Большеигнатовского  муниципального района Республики Мордовия на осуществление полномочий по решению вопроса местного значения муниципального района, передаваемого по настоящему решению, Главе Большеигнатовского муниципального района заключить с уполномоче</w:t>
      </w:r>
      <w:r w:rsidR="00340E4D">
        <w:rPr>
          <w:rFonts w:ascii="Times New Roman" w:eastAsia="Times New Roman" w:hAnsi="Times New Roman" w:cs="Times New Roman"/>
          <w:sz w:val="28"/>
          <w:szCs w:val="28"/>
        </w:rPr>
        <w:t>нным должностным лицом поселений</w:t>
      </w:r>
      <w:r w:rsidRPr="00FC738B">
        <w:rPr>
          <w:rFonts w:ascii="Times New Roman" w:eastAsia="Times New Roman" w:hAnsi="Times New Roman" w:cs="Times New Roman"/>
          <w:sz w:val="28"/>
          <w:szCs w:val="28"/>
        </w:rPr>
        <w:t xml:space="preserve"> Соглашение о передаче полномочий по решению вопроса местного значения Большеигнатовского муниципального района сроком на пять лет - с 1 января 20</w:t>
      </w:r>
      <w:r w:rsidR="00872B8B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FC738B">
        <w:rPr>
          <w:rFonts w:ascii="Times New Roman" w:eastAsia="Times New Roman" w:hAnsi="Times New Roman" w:cs="Times New Roman"/>
          <w:sz w:val="28"/>
          <w:szCs w:val="28"/>
        </w:rPr>
        <w:t xml:space="preserve"> года  до 31 декабря 20</w:t>
      </w:r>
      <w:r w:rsidR="00340E4D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FC738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C738B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340E4D" w:rsidRPr="00340E4D">
        <w:rPr>
          <w:sz w:val="28"/>
          <w:szCs w:val="28"/>
        </w:rPr>
        <w:t xml:space="preserve"> </w:t>
      </w:r>
      <w:r w:rsidR="00340E4D" w:rsidRPr="00340E4D">
        <w:rPr>
          <w:rFonts w:ascii="Times New Roman" w:hAnsi="Times New Roman" w:cs="Times New Roman"/>
          <w:sz w:val="28"/>
          <w:szCs w:val="28"/>
        </w:rPr>
        <w:t>с возможностью его продления, по согласию сторон, сроком на один календарный год</w:t>
      </w:r>
      <w:r w:rsidRPr="00FC73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40E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финансовое обеспечение передаваемых полномочий осуществляется за счет межбюджетных трансфертов, предоставляемых из бюджета Большеигнатовского муниципального района, на осуществление полномочий по решению вопросов местного значения в соответствии с заключенными соглашениями.</w:t>
      </w: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A78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подлежит официальному опубликованию в информационном бюллетене «Большеигнатовский вестник». </w:t>
      </w:r>
    </w:p>
    <w:p w:rsid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828" w:rsidRDefault="00BA7828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828" w:rsidRPr="00FC738B" w:rsidRDefault="00BA7828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6"/>
        <w:gridCol w:w="4285"/>
      </w:tblGrid>
      <w:tr w:rsidR="00BA7828" w:rsidRPr="00FC738B" w:rsidTr="00E435EA">
        <w:tc>
          <w:tcPr>
            <w:tcW w:w="5529" w:type="dxa"/>
            <w:hideMark/>
          </w:tcPr>
          <w:p w:rsidR="00BA7828" w:rsidRPr="00FC738B" w:rsidRDefault="00BA7828" w:rsidP="00E43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BA7828" w:rsidRPr="00FC738B" w:rsidRDefault="00BA7828" w:rsidP="00E435EA">
            <w:pPr>
              <w:spacing w:after="0" w:line="240" w:lineRule="auto"/>
              <w:ind w:right="-3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Большеигнатовского </w:t>
            </w:r>
          </w:p>
          <w:p w:rsidR="00BA7828" w:rsidRPr="00FC738B" w:rsidRDefault="00BA7828" w:rsidP="00E435EA">
            <w:pPr>
              <w:spacing w:after="0" w:line="240" w:lineRule="auto"/>
              <w:ind w:right="-33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                                      Н.М                                                                                                      </w:t>
            </w:r>
          </w:p>
        </w:tc>
        <w:tc>
          <w:tcPr>
            <w:tcW w:w="4470" w:type="dxa"/>
          </w:tcPr>
          <w:p w:rsidR="00BA7828" w:rsidRPr="00FC738B" w:rsidRDefault="00BA7828" w:rsidP="00E43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A7828" w:rsidRPr="00FC738B" w:rsidRDefault="00BA7828" w:rsidP="00E43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</w:p>
          <w:p w:rsidR="00BA7828" w:rsidRPr="00FC738B" w:rsidRDefault="00BA7828" w:rsidP="00E43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7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В.Н. Кечемайкин</w:t>
            </w:r>
          </w:p>
        </w:tc>
      </w:tr>
    </w:tbl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Большеигнатовского</w:t>
      </w: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Т.Н.Полозова       </w:t>
      </w: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C738B" w:rsidRPr="00FC738B" w:rsidRDefault="00FC738B" w:rsidP="00FC73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C738B" w:rsidRPr="00FC738B" w:rsidRDefault="00FC738B" w:rsidP="00FC73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2FA8" w:rsidRDefault="000E2FA8"/>
    <w:sectPr w:rsidR="000E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4D38"/>
    <w:multiLevelType w:val="hybridMultilevel"/>
    <w:tmpl w:val="771C0F06"/>
    <w:lvl w:ilvl="0" w:tplc="087CB97C">
      <w:start w:val="1"/>
      <w:numFmt w:val="decimal"/>
      <w:lvlText w:val="%1."/>
      <w:lvlJc w:val="left"/>
      <w:pPr>
        <w:ind w:left="9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5135DCD"/>
    <w:multiLevelType w:val="hybridMultilevel"/>
    <w:tmpl w:val="8F148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8400D53"/>
    <w:multiLevelType w:val="hybridMultilevel"/>
    <w:tmpl w:val="39DE8264"/>
    <w:lvl w:ilvl="0" w:tplc="AB3E0F5A">
      <w:start w:val="1"/>
      <w:numFmt w:val="decimal"/>
      <w:lvlText w:val="%1."/>
      <w:lvlJc w:val="left"/>
      <w:pPr>
        <w:ind w:left="99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52"/>
    <w:rsid w:val="00062970"/>
    <w:rsid w:val="000E2FA8"/>
    <w:rsid w:val="0019102A"/>
    <w:rsid w:val="001F734D"/>
    <w:rsid w:val="00312BD1"/>
    <w:rsid w:val="00340E4D"/>
    <w:rsid w:val="00514171"/>
    <w:rsid w:val="00872B8B"/>
    <w:rsid w:val="009A1413"/>
    <w:rsid w:val="00A11852"/>
    <w:rsid w:val="00BA7828"/>
    <w:rsid w:val="00FC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3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3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C73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9A1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3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3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C73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9A1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50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38291.1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2038291.14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068242.10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CHERNOUSOVA</dc:creator>
  <cp:keywords/>
  <dc:description/>
  <cp:lastModifiedBy>Пользователь Windows</cp:lastModifiedBy>
  <cp:revision>8</cp:revision>
  <dcterms:created xsi:type="dcterms:W3CDTF">2024-12-23T05:46:00Z</dcterms:created>
  <dcterms:modified xsi:type="dcterms:W3CDTF">2024-12-26T11:53:00Z</dcterms:modified>
</cp:coreProperties>
</file>