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noProof/>
          <w:kern w:val="1"/>
          <w:sz w:val="40"/>
        </w:rPr>
      </w:pPr>
      <w:bookmarkStart w:id="0" w:name="_GoBack"/>
      <w:bookmarkEnd w:id="0"/>
      <w:r>
        <w:rPr>
          <w:b/>
          <w:noProof/>
          <w:kern w:val="1"/>
          <w:sz w:val="40"/>
          <w:lang w:eastAsia="ru-RU" w:bidi="ar-SA"/>
        </w:rPr>
        <w:drawing>
          <wp:inline distT="0" distB="0" distL="0" distR="0" wp14:anchorId="77458AC4" wp14:editId="41E96F20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16"/>
          <w:szCs w:val="16"/>
          <w:lang w:eastAsia="ar-SA"/>
        </w:rPr>
      </w:pPr>
      <w:r w:rsidRPr="006312A4">
        <w:rPr>
          <w:b/>
          <w:kern w:val="1"/>
          <w:sz w:val="16"/>
          <w:szCs w:val="16"/>
          <w:lang w:eastAsia="ar-SA"/>
        </w:rPr>
        <w:t xml:space="preserve">                      </w:t>
      </w:r>
    </w:p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40"/>
          <w:lang w:eastAsia="ar-SA"/>
        </w:rPr>
      </w:pPr>
      <w:r w:rsidRPr="006312A4">
        <w:rPr>
          <w:b/>
          <w:kern w:val="1"/>
          <w:sz w:val="40"/>
          <w:lang w:eastAsia="ar-SA"/>
        </w:rPr>
        <w:t>Администрация Большеигнатовского муниципального района Республики Мордовия</w:t>
      </w:r>
    </w:p>
    <w:p w:rsidR="00BD543C" w:rsidRPr="006312A4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</w:p>
    <w:p w:rsidR="00BD543C" w:rsidRPr="006312A4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  <w:r w:rsidRPr="006312A4">
        <w:rPr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  <w:r w:rsidRPr="00DA047B">
        <w:rPr>
          <w:kern w:val="1"/>
          <w:sz w:val="36"/>
          <w:szCs w:val="36"/>
          <w:lang w:eastAsia="ar-SA"/>
        </w:rPr>
        <w:t xml:space="preserve">   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</w:p>
    <w:p w:rsidR="00BD543C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  <w:r w:rsidRPr="00DA047B">
        <w:rPr>
          <w:kern w:val="1"/>
          <w:sz w:val="26"/>
          <w:szCs w:val="26"/>
          <w:lang w:eastAsia="ar-SA"/>
        </w:rPr>
        <w:t>«</w:t>
      </w:r>
      <w:r w:rsidR="00340903">
        <w:rPr>
          <w:kern w:val="1"/>
          <w:sz w:val="26"/>
          <w:szCs w:val="26"/>
          <w:lang w:eastAsia="ar-SA"/>
        </w:rPr>
        <w:t>12</w:t>
      </w:r>
      <w:r w:rsidRPr="00DA047B">
        <w:rPr>
          <w:kern w:val="1"/>
          <w:sz w:val="26"/>
          <w:szCs w:val="26"/>
          <w:lang w:eastAsia="ar-SA"/>
        </w:rPr>
        <w:t>»</w:t>
      </w:r>
      <w:r>
        <w:rPr>
          <w:kern w:val="1"/>
          <w:sz w:val="26"/>
          <w:szCs w:val="26"/>
          <w:lang w:eastAsia="ar-SA"/>
        </w:rPr>
        <w:t xml:space="preserve"> </w:t>
      </w:r>
      <w:r w:rsidR="00340903">
        <w:rPr>
          <w:kern w:val="1"/>
          <w:sz w:val="26"/>
          <w:szCs w:val="26"/>
          <w:lang w:eastAsia="ar-SA"/>
        </w:rPr>
        <w:t xml:space="preserve">апреля </w:t>
      </w:r>
      <w:r>
        <w:rPr>
          <w:kern w:val="1"/>
          <w:sz w:val="26"/>
          <w:szCs w:val="26"/>
          <w:lang w:eastAsia="ar-SA"/>
        </w:rPr>
        <w:t xml:space="preserve"> </w:t>
      </w:r>
      <w:r w:rsidRPr="00DA047B">
        <w:rPr>
          <w:kern w:val="1"/>
          <w:sz w:val="26"/>
          <w:szCs w:val="26"/>
          <w:lang w:eastAsia="ar-SA"/>
        </w:rPr>
        <w:t xml:space="preserve"> 202</w:t>
      </w:r>
      <w:r>
        <w:rPr>
          <w:kern w:val="1"/>
          <w:sz w:val="26"/>
          <w:szCs w:val="26"/>
          <w:lang w:eastAsia="ar-SA"/>
        </w:rPr>
        <w:t>3</w:t>
      </w:r>
      <w:r w:rsidRPr="00DA047B">
        <w:rPr>
          <w:kern w:val="1"/>
          <w:sz w:val="26"/>
          <w:szCs w:val="26"/>
          <w:lang w:eastAsia="ar-SA"/>
        </w:rPr>
        <w:t xml:space="preserve"> г.</w:t>
      </w:r>
      <w:r>
        <w:rPr>
          <w:kern w:val="1"/>
          <w:sz w:val="26"/>
          <w:szCs w:val="26"/>
          <w:lang w:eastAsia="ar-SA"/>
        </w:rPr>
        <w:t xml:space="preserve">   </w:t>
      </w:r>
      <w:r w:rsidRPr="00DA047B">
        <w:rPr>
          <w:kern w:val="1"/>
          <w:sz w:val="26"/>
          <w:szCs w:val="26"/>
          <w:lang w:eastAsia="ar-SA"/>
        </w:rPr>
        <w:t xml:space="preserve">  </w:t>
      </w:r>
      <w:r>
        <w:rPr>
          <w:kern w:val="1"/>
          <w:sz w:val="26"/>
          <w:szCs w:val="26"/>
          <w:lang w:eastAsia="ar-SA"/>
        </w:rPr>
        <w:t xml:space="preserve">     </w:t>
      </w:r>
      <w:r w:rsidRPr="00DA047B">
        <w:rPr>
          <w:kern w:val="1"/>
          <w:sz w:val="26"/>
          <w:szCs w:val="26"/>
          <w:lang w:eastAsia="ar-SA"/>
        </w:rPr>
        <w:t xml:space="preserve">                                                                  №</w:t>
      </w:r>
      <w:r w:rsidR="00340903">
        <w:rPr>
          <w:kern w:val="1"/>
          <w:sz w:val="26"/>
          <w:szCs w:val="26"/>
          <w:lang w:eastAsia="ar-SA"/>
        </w:rPr>
        <w:t>183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</w:p>
    <w:p w:rsidR="00BD543C" w:rsidRPr="00A070CD" w:rsidRDefault="00BD543C" w:rsidP="00BD543C">
      <w:pPr>
        <w:widowControl w:val="0"/>
        <w:numPr>
          <w:ilvl w:val="0"/>
          <w:numId w:val="1"/>
        </w:numPr>
        <w:ind w:firstLine="567"/>
        <w:jc w:val="center"/>
        <w:outlineLvl w:val="0"/>
        <w:rPr>
          <w:rFonts w:ascii="Times New Roman" w:eastAsia="Symbol" w:hAnsi="Times New Roman" w:cs="Times New Roman"/>
          <w:color w:val="26282F"/>
          <w:kern w:val="1"/>
          <w:sz w:val="26"/>
          <w:szCs w:val="26"/>
        </w:rPr>
      </w:pPr>
      <w:r w:rsidRPr="00A070CD">
        <w:rPr>
          <w:kern w:val="1"/>
          <w:sz w:val="22"/>
          <w:lang w:eastAsia="ar-SA"/>
        </w:rPr>
        <w:t>с. Большое Игнатово</w:t>
      </w:r>
    </w:p>
    <w:p w:rsidR="00BD543C" w:rsidRPr="00AC26F5" w:rsidRDefault="00BD543C" w:rsidP="00BD543C">
      <w:pPr>
        <w:pStyle w:val="1"/>
        <w:ind w:right="991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 внесении изменений в </w:t>
      </w:r>
      <w:r w:rsidRPr="00AC26F5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 </w:t>
      </w:r>
      <w:r w:rsid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Постановление Администрации Большеигнатовского муниципального района от 01 марта 2023 г. №60 «Об утверждении </w:t>
      </w:r>
      <w:r w:rsidRPr="00AC26F5">
        <w:rPr>
          <w:rFonts w:ascii="Times New Roman" w:hAnsi="Times New Roman"/>
          <w:b w:val="0"/>
          <w:color w:val="auto"/>
          <w:sz w:val="28"/>
          <w:szCs w:val="28"/>
        </w:rPr>
        <w:t>Административн</w:t>
      </w:r>
      <w:r w:rsidR="00CF6B6D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AC26F5">
        <w:rPr>
          <w:rFonts w:ascii="Times New Roman" w:hAnsi="Times New Roman"/>
          <w:b w:val="0"/>
          <w:color w:val="auto"/>
          <w:sz w:val="28"/>
          <w:szCs w:val="28"/>
        </w:rPr>
        <w:t xml:space="preserve"> регламент</w:t>
      </w:r>
      <w:r w:rsidR="00CF6B6D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AC26F5">
        <w:rPr>
          <w:rFonts w:ascii="Times New Roman" w:hAnsi="Times New Roman"/>
          <w:b w:val="0"/>
          <w:color w:val="auto"/>
          <w:sz w:val="28"/>
          <w:szCs w:val="28"/>
        </w:rPr>
        <w:t xml:space="preserve"> предоставления Администрацией Большеигнатовского  муниципального района муниципальной услуги </w:t>
      </w:r>
      <w:r w:rsidRPr="00AC26F5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Pr="00AC26F5">
        <w:rPr>
          <w:rFonts w:ascii="Times New Roman" w:hAnsi="Times New Roman"/>
          <w:b w:val="0"/>
          <w:color w:val="auto"/>
          <w:sz w:val="28"/>
          <w:szCs w:val="28"/>
        </w:rPr>
        <w:t>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proofErr w:type="gramEnd"/>
      <w:r w:rsidRPr="00AC26F5">
        <w:rPr>
          <w:rFonts w:ascii="Times New Roman" w:hAnsi="Times New Roman"/>
          <w:b w:val="0"/>
          <w:color w:val="auto"/>
          <w:sz w:val="28"/>
          <w:szCs w:val="28"/>
        </w:rPr>
        <w:t xml:space="preserve"> действия такого разрешения)</w:t>
      </w:r>
      <w:r w:rsidRPr="00AC26F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D543C" w:rsidRPr="00A070CD" w:rsidRDefault="00BD543C" w:rsidP="00BD543C">
      <w:pPr>
        <w:widowControl w:val="0"/>
        <w:numPr>
          <w:ilvl w:val="0"/>
          <w:numId w:val="1"/>
        </w:numPr>
        <w:ind w:right="141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43C" w:rsidRPr="00B22076" w:rsidRDefault="00BD543C" w:rsidP="00BD543C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B22076">
        <w:rPr>
          <w:rFonts w:ascii="Times New Roman" w:hAnsi="Times New Roman" w:cs="Times New Roman"/>
          <w:sz w:val="28"/>
          <w:szCs w:val="28"/>
        </w:rPr>
        <w:t xml:space="preserve">В </w:t>
      </w:r>
      <w:r w:rsidRPr="00B22076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B22076">
        <w:rPr>
          <w:rFonts w:ascii="Times New Roman" w:hAnsi="Times New Roman" w:cs="Times New Roman"/>
          <w:sz w:val="28"/>
          <w:szCs w:val="28"/>
        </w:rPr>
        <w:t xml:space="preserve">  Федеральным закон от 29 декабря 2022 г. N 612-ФЗ</w:t>
      </w:r>
      <w:r w:rsidRPr="00B22076">
        <w:rPr>
          <w:rFonts w:ascii="Times New Roman" w:hAnsi="Times New Roman" w:cs="Times New Roman"/>
          <w:sz w:val="28"/>
          <w:szCs w:val="28"/>
        </w:rPr>
        <w:br/>
        <w:t>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 w:rsidRPr="00B220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B2207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Администрация Большеигнатовского муниципального района  </w:t>
      </w:r>
      <w:r w:rsidRPr="00B2207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</w:t>
      </w:r>
      <w:r w:rsidRPr="00B22076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остановляет</w:t>
      </w:r>
      <w:r w:rsidRPr="00B2207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Pr="00B2207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proofErr w:type="gramEnd"/>
    </w:p>
    <w:p w:rsidR="00BD543C" w:rsidRPr="00A070CD" w:rsidRDefault="00BD543C" w:rsidP="00BD543C">
      <w:pPr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A070CD">
        <w:rPr>
          <w:kern w:val="1"/>
          <w:sz w:val="28"/>
          <w:szCs w:val="28"/>
          <w:lang w:eastAsia="ar-SA"/>
        </w:rPr>
        <w:t xml:space="preserve">  </w:t>
      </w:r>
    </w:p>
    <w:p w:rsidR="00B22076" w:rsidRDefault="00B22076" w:rsidP="000A4744">
      <w:pPr>
        <w:pStyle w:val="1"/>
        <w:numPr>
          <w:ilvl w:val="0"/>
          <w:numId w:val="2"/>
        </w:numPr>
        <w:ind w:left="0" w:firstLine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F6B6D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Внести в 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предоставления Администрацией Большеигнатовского  муниципального района муниципальной </w:t>
      </w:r>
      <w:proofErr w:type="gramStart"/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услуги </w:t>
      </w:r>
      <w:r w:rsidRPr="00CF6B6D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>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Большеигнатовского муниципального района Республики Мордовия от 01 марта 2023 года № 60</w:t>
      </w:r>
      <w:r w:rsidRPr="00CF6B6D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Об утверждении 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>Административного регламента предоставления Администрацией Большеигнатовского  муниципального</w:t>
      </w:r>
      <w:proofErr w:type="gramEnd"/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муниципальной услуги </w:t>
      </w:r>
      <w:r w:rsidRPr="00CF6B6D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AC26F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капитального строительства в связи с продлением срока действия такого разрешения)</w:t>
      </w:r>
      <w:r w:rsidRPr="00AC26F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1A4813" w:rsidRPr="000A4744" w:rsidRDefault="001D098C" w:rsidP="000A4744">
      <w:pPr>
        <w:pStyle w:val="1"/>
        <w:ind w:left="643"/>
        <w:jc w:val="both"/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</w:pPr>
      <w:r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1)</w:t>
      </w:r>
      <w:r w:rsidR="001A4813" w:rsidRPr="000A4744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пункт 17 дополнить </w:t>
      </w:r>
      <w:r w:rsidR="00CF6B6D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под</w:t>
      </w:r>
      <w:r w:rsidR="001A4813" w:rsidRPr="000A4744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пунктом 8.1 следующего содержания </w:t>
      </w:r>
    </w:p>
    <w:p w:rsidR="001A4813" w:rsidRPr="000A4744" w:rsidRDefault="001A4813" w:rsidP="000A4744">
      <w:pPr>
        <w:pStyle w:val="1"/>
        <w:ind w:left="64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4744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«8.1) </w:t>
      </w:r>
      <w:r w:rsidRPr="000A47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 w:anchor="/document/12138258/entry/4010" w:history="1">
        <w:r w:rsidRPr="000A4744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40.1</w:t>
        </w:r>
      </w:hyperlink>
      <w:r w:rsidRPr="000A47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Градостроительного Кодекса Российской Федерации»</w:t>
      </w:r>
      <w:r w:rsidR="000A4744" w:rsidRPr="000A4744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0A4744" w:rsidRPr="000A4744" w:rsidRDefault="001D098C" w:rsidP="000A4744">
      <w:pPr>
        <w:pStyle w:val="1"/>
        <w:ind w:left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2)</w:t>
      </w:r>
      <w:r w:rsidR="000A4744" w:rsidRPr="000A4744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подпункт 10 пункта 17 </w:t>
      </w:r>
      <w:r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>признать</w:t>
      </w:r>
      <w:r w:rsidR="000A4744" w:rsidRPr="000A4744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 утратившим силу.</w:t>
      </w:r>
    </w:p>
    <w:p w:rsidR="000A4744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="00BD54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первого </w:t>
      </w:r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заместителя Главы Большеигнатовского муниципального района по вопросам  строительства</w:t>
      </w:r>
      <w:r w:rsidR="00BD543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жилищно-коммунального хозяйства </w:t>
      </w:r>
      <w:r w:rsidR="00BD54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перспективного развития </w:t>
      </w:r>
      <w:proofErr w:type="spellStart"/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>Левщанова</w:t>
      </w:r>
      <w:proofErr w:type="spellEnd"/>
      <w:r w:rsidR="00BD543C" w:rsidRPr="00AC26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А.М.</w:t>
      </w:r>
    </w:p>
    <w:p w:rsidR="00BD543C" w:rsidRPr="00CF6B6D" w:rsidRDefault="000A4744" w:rsidP="000A4744">
      <w:pPr>
        <w:pStyle w:val="1"/>
        <w:tabs>
          <w:tab w:val="right" w:pos="6379"/>
          <w:tab w:val="right" w:pos="9639"/>
        </w:tabs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</w:pPr>
      <w:r w:rsidRPr="00CF6B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BD543C" w:rsidRPr="00CF6B6D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ar-SA"/>
        </w:rPr>
        <w:t>Настоящее постановление вступает в силу после  дня официального опубликования (обнародования).</w:t>
      </w:r>
    </w:p>
    <w:p w:rsidR="00BD543C" w:rsidRPr="00CF6B6D" w:rsidRDefault="00BD543C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0A4744" w:rsidRPr="000A4744" w:rsidRDefault="000A474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BD543C" w:rsidRPr="00A070CD" w:rsidRDefault="00BD543C" w:rsidP="00BD543C">
      <w:pPr>
        <w:widowControl w:val="0"/>
        <w:ind w:left="-284" w:firstLine="567"/>
        <w:outlineLvl w:val="0"/>
        <w:rPr>
          <w:rFonts w:hint="eastAsia"/>
          <w:kern w:val="1"/>
          <w:sz w:val="28"/>
          <w:szCs w:val="28"/>
        </w:rPr>
      </w:pPr>
    </w:p>
    <w:p w:rsidR="00BD543C" w:rsidRPr="00A070CD" w:rsidRDefault="000A4744" w:rsidP="00BD543C">
      <w:pPr>
        <w:numPr>
          <w:ilvl w:val="0"/>
          <w:numId w:val="1"/>
        </w:numPr>
        <w:ind w:left="-284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Первый заместитель </w:t>
      </w:r>
      <w:r w:rsidR="00BD543C" w:rsidRPr="00A070CD">
        <w:rPr>
          <w:kern w:val="1"/>
          <w:sz w:val="28"/>
          <w:szCs w:val="28"/>
          <w:lang w:eastAsia="ar-SA"/>
        </w:rPr>
        <w:t>Глав</w:t>
      </w:r>
      <w:r>
        <w:rPr>
          <w:kern w:val="1"/>
          <w:sz w:val="28"/>
          <w:szCs w:val="28"/>
          <w:lang w:eastAsia="ar-SA"/>
        </w:rPr>
        <w:t>ы</w:t>
      </w:r>
      <w:r w:rsidR="00BD543C" w:rsidRPr="00A070CD">
        <w:rPr>
          <w:kern w:val="1"/>
          <w:sz w:val="28"/>
          <w:szCs w:val="28"/>
          <w:lang w:eastAsia="ar-SA"/>
        </w:rPr>
        <w:t xml:space="preserve"> Большеигнатовского</w:t>
      </w:r>
    </w:p>
    <w:p w:rsidR="000A4744" w:rsidRDefault="00BD543C" w:rsidP="00BD543C">
      <w:pPr>
        <w:numPr>
          <w:ilvl w:val="0"/>
          <w:numId w:val="1"/>
        </w:numPr>
        <w:ind w:left="-284"/>
        <w:jc w:val="both"/>
        <w:rPr>
          <w:rFonts w:hint="eastAsia"/>
          <w:kern w:val="1"/>
          <w:sz w:val="28"/>
          <w:szCs w:val="28"/>
          <w:lang w:eastAsia="ar-SA"/>
        </w:rPr>
      </w:pPr>
      <w:r w:rsidRPr="00A070CD">
        <w:rPr>
          <w:kern w:val="1"/>
          <w:sz w:val="28"/>
          <w:szCs w:val="28"/>
          <w:lang w:eastAsia="ar-SA"/>
        </w:rPr>
        <w:t xml:space="preserve">муниципального района   </w:t>
      </w:r>
      <w:r w:rsidR="000A4744">
        <w:rPr>
          <w:kern w:val="1"/>
          <w:sz w:val="28"/>
          <w:szCs w:val="28"/>
          <w:lang w:eastAsia="ar-SA"/>
        </w:rPr>
        <w:t>по вопросам</w:t>
      </w:r>
    </w:p>
    <w:p w:rsidR="000A4744" w:rsidRDefault="000A4744" w:rsidP="00BD543C">
      <w:pPr>
        <w:numPr>
          <w:ilvl w:val="0"/>
          <w:numId w:val="1"/>
        </w:numPr>
        <w:ind w:left="-284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строительства, жилищно-коммунального </w:t>
      </w:r>
    </w:p>
    <w:p w:rsidR="00BD543C" w:rsidRPr="00A070CD" w:rsidRDefault="000A4744" w:rsidP="00BD543C">
      <w:pPr>
        <w:numPr>
          <w:ilvl w:val="0"/>
          <w:numId w:val="1"/>
        </w:numPr>
        <w:ind w:left="-284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хозяйства и перспективного развития</w:t>
      </w:r>
      <w:r w:rsidR="00BD543C" w:rsidRPr="00A070CD">
        <w:rPr>
          <w:kern w:val="1"/>
          <w:sz w:val="28"/>
          <w:szCs w:val="28"/>
          <w:lang w:eastAsia="ar-SA"/>
        </w:rPr>
        <w:t xml:space="preserve">                                                       </w:t>
      </w:r>
      <w:r>
        <w:rPr>
          <w:kern w:val="1"/>
          <w:sz w:val="28"/>
          <w:szCs w:val="28"/>
          <w:lang w:eastAsia="ar-SA"/>
        </w:rPr>
        <w:t xml:space="preserve">А.М. </w:t>
      </w:r>
      <w:proofErr w:type="spellStart"/>
      <w:r>
        <w:rPr>
          <w:kern w:val="1"/>
          <w:sz w:val="28"/>
          <w:szCs w:val="28"/>
          <w:lang w:eastAsia="ar-SA"/>
        </w:rPr>
        <w:t>Левщанов</w:t>
      </w:r>
      <w:proofErr w:type="spellEnd"/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685AEA" w:rsidRPr="003979FF" w:rsidRDefault="00685AEA">
      <w:pPr>
        <w:ind w:firstLine="698"/>
        <w:jc w:val="right"/>
        <w:rPr>
          <w:rStyle w:val="a3"/>
          <w:rFonts w:hint="eastAsia"/>
          <w:b/>
          <w:shd w:val="clear" w:color="auto" w:fill="C9211E"/>
        </w:rPr>
      </w:pPr>
      <w:bookmarkStart w:id="1" w:name="sub_1500"/>
      <w:bookmarkEnd w:id="1"/>
    </w:p>
    <w:sectPr w:rsidR="00685AEA" w:rsidRPr="003979FF" w:rsidSect="00A070CD">
      <w:footerReference w:type="default" r:id="rId11"/>
      <w:pgSz w:w="11906" w:h="16838"/>
      <w:pgMar w:top="993" w:right="566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A7" w:rsidRDefault="00AE5FA7" w:rsidP="00BB449D">
      <w:pPr>
        <w:rPr>
          <w:rFonts w:hint="eastAsia"/>
        </w:rPr>
      </w:pPr>
      <w:r>
        <w:separator/>
      </w:r>
    </w:p>
  </w:endnote>
  <w:endnote w:type="continuationSeparator" w:id="0">
    <w:p w:rsidR="00AE5FA7" w:rsidRDefault="00AE5FA7" w:rsidP="00BB44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12527"/>
      <w:docPartObj>
        <w:docPartGallery w:val="Page Numbers (Bottom of Page)"/>
        <w:docPartUnique/>
      </w:docPartObj>
    </w:sdtPr>
    <w:sdtEndPr/>
    <w:sdtContent>
      <w:p w:rsidR="00BD543C" w:rsidRDefault="00BD543C">
        <w:pPr>
          <w:pStyle w:val="af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1A">
          <w:rPr>
            <w:rFonts w:hint="eastAsia"/>
            <w:noProof/>
          </w:rPr>
          <w:t>1</w:t>
        </w:r>
        <w:r>
          <w:fldChar w:fldCharType="end"/>
        </w:r>
      </w:p>
    </w:sdtContent>
  </w:sdt>
  <w:p w:rsidR="00BD543C" w:rsidRDefault="00BD543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A7" w:rsidRDefault="00AE5FA7" w:rsidP="00BB449D">
      <w:pPr>
        <w:rPr>
          <w:rFonts w:hint="eastAsia"/>
        </w:rPr>
      </w:pPr>
      <w:r>
        <w:separator/>
      </w:r>
    </w:p>
  </w:footnote>
  <w:footnote w:type="continuationSeparator" w:id="0">
    <w:p w:rsidR="00AE5FA7" w:rsidRDefault="00AE5FA7" w:rsidP="00BB44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B58B5"/>
    <w:multiLevelType w:val="hybridMultilevel"/>
    <w:tmpl w:val="3BF217CA"/>
    <w:lvl w:ilvl="0" w:tplc="202ECE62">
      <w:start w:val="1"/>
      <w:numFmt w:val="decimal"/>
      <w:lvlText w:val="%1."/>
      <w:lvlJc w:val="left"/>
      <w:pPr>
        <w:ind w:left="1003" w:hanging="360"/>
      </w:pPr>
      <w:rPr>
        <w:rFonts w:eastAsia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D441181"/>
    <w:multiLevelType w:val="hybridMultilevel"/>
    <w:tmpl w:val="8F2C162A"/>
    <w:lvl w:ilvl="0" w:tplc="30823AA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5AEA"/>
    <w:rsid w:val="000148AC"/>
    <w:rsid w:val="00031419"/>
    <w:rsid w:val="00032875"/>
    <w:rsid w:val="00075AAC"/>
    <w:rsid w:val="000A46A4"/>
    <w:rsid w:val="000A4744"/>
    <w:rsid w:val="000D0398"/>
    <w:rsid w:val="000D7CD1"/>
    <w:rsid w:val="000E3364"/>
    <w:rsid w:val="000F0701"/>
    <w:rsid w:val="000F7BCD"/>
    <w:rsid w:val="0014547C"/>
    <w:rsid w:val="00156E20"/>
    <w:rsid w:val="001607F2"/>
    <w:rsid w:val="001746CA"/>
    <w:rsid w:val="00175252"/>
    <w:rsid w:val="001A4813"/>
    <w:rsid w:val="001A78E7"/>
    <w:rsid w:val="001D098C"/>
    <w:rsid w:val="00202342"/>
    <w:rsid w:val="00205BFD"/>
    <w:rsid w:val="00206407"/>
    <w:rsid w:val="00206511"/>
    <w:rsid w:val="00226928"/>
    <w:rsid w:val="00234AA0"/>
    <w:rsid w:val="0023625B"/>
    <w:rsid w:val="00240C4C"/>
    <w:rsid w:val="0024162B"/>
    <w:rsid w:val="00245A5F"/>
    <w:rsid w:val="00257F0F"/>
    <w:rsid w:val="002779FD"/>
    <w:rsid w:val="00282893"/>
    <w:rsid w:val="002A183E"/>
    <w:rsid w:val="002B251F"/>
    <w:rsid w:val="002D6014"/>
    <w:rsid w:val="002E359B"/>
    <w:rsid w:val="002F7C7F"/>
    <w:rsid w:val="003018C2"/>
    <w:rsid w:val="00313A98"/>
    <w:rsid w:val="003313FB"/>
    <w:rsid w:val="00340903"/>
    <w:rsid w:val="003469AC"/>
    <w:rsid w:val="0035531F"/>
    <w:rsid w:val="00377F7C"/>
    <w:rsid w:val="003979FF"/>
    <w:rsid w:val="003D0FA2"/>
    <w:rsid w:val="003D40A5"/>
    <w:rsid w:val="003E4702"/>
    <w:rsid w:val="003F2B03"/>
    <w:rsid w:val="00412AE6"/>
    <w:rsid w:val="00417330"/>
    <w:rsid w:val="00424137"/>
    <w:rsid w:val="00441448"/>
    <w:rsid w:val="00447CBE"/>
    <w:rsid w:val="004743F0"/>
    <w:rsid w:val="004869A1"/>
    <w:rsid w:val="004C6B01"/>
    <w:rsid w:val="004D5C02"/>
    <w:rsid w:val="004E40B6"/>
    <w:rsid w:val="00505F9E"/>
    <w:rsid w:val="0053412A"/>
    <w:rsid w:val="00543B04"/>
    <w:rsid w:val="005605AA"/>
    <w:rsid w:val="00591394"/>
    <w:rsid w:val="005A07BC"/>
    <w:rsid w:val="005C03BF"/>
    <w:rsid w:val="005F026F"/>
    <w:rsid w:val="00604177"/>
    <w:rsid w:val="006145CB"/>
    <w:rsid w:val="00626711"/>
    <w:rsid w:val="006320EF"/>
    <w:rsid w:val="00685AEA"/>
    <w:rsid w:val="006C3CCD"/>
    <w:rsid w:val="006C472A"/>
    <w:rsid w:val="006D27C3"/>
    <w:rsid w:val="006F71B1"/>
    <w:rsid w:val="00705939"/>
    <w:rsid w:val="007119C7"/>
    <w:rsid w:val="00725790"/>
    <w:rsid w:val="00770216"/>
    <w:rsid w:val="0078180C"/>
    <w:rsid w:val="00797E8D"/>
    <w:rsid w:val="007A287F"/>
    <w:rsid w:val="007B5BF0"/>
    <w:rsid w:val="007D37DA"/>
    <w:rsid w:val="007E617E"/>
    <w:rsid w:val="00810B47"/>
    <w:rsid w:val="00836065"/>
    <w:rsid w:val="00854D38"/>
    <w:rsid w:val="008A01FB"/>
    <w:rsid w:val="008A5A61"/>
    <w:rsid w:val="008B3BF0"/>
    <w:rsid w:val="008E22AB"/>
    <w:rsid w:val="008E3C7E"/>
    <w:rsid w:val="00900AF3"/>
    <w:rsid w:val="00902525"/>
    <w:rsid w:val="0090402B"/>
    <w:rsid w:val="00913A7E"/>
    <w:rsid w:val="009374CE"/>
    <w:rsid w:val="0094195A"/>
    <w:rsid w:val="00953DC9"/>
    <w:rsid w:val="009619AC"/>
    <w:rsid w:val="00966664"/>
    <w:rsid w:val="0097184E"/>
    <w:rsid w:val="00974E81"/>
    <w:rsid w:val="00983589"/>
    <w:rsid w:val="009955C9"/>
    <w:rsid w:val="009A7094"/>
    <w:rsid w:val="009C16B8"/>
    <w:rsid w:val="009C648C"/>
    <w:rsid w:val="009D2EAA"/>
    <w:rsid w:val="009D41F6"/>
    <w:rsid w:val="009E284B"/>
    <w:rsid w:val="009F0085"/>
    <w:rsid w:val="009F2E02"/>
    <w:rsid w:val="00A070CD"/>
    <w:rsid w:val="00A475F8"/>
    <w:rsid w:val="00A66158"/>
    <w:rsid w:val="00A85D5D"/>
    <w:rsid w:val="00AA587F"/>
    <w:rsid w:val="00AB291E"/>
    <w:rsid w:val="00AC26F5"/>
    <w:rsid w:val="00AC654E"/>
    <w:rsid w:val="00AE26BC"/>
    <w:rsid w:val="00AE5FA7"/>
    <w:rsid w:val="00B00649"/>
    <w:rsid w:val="00B03A48"/>
    <w:rsid w:val="00B22076"/>
    <w:rsid w:val="00B56923"/>
    <w:rsid w:val="00B6177E"/>
    <w:rsid w:val="00B721AA"/>
    <w:rsid w:val="00BB449D"/>
    <w:rsid w:val="00BD2E35"/>
    <w:rsid w:val="00BD43C2"/>
    <w:rsid w:val="00BD543C"/>
    <w:rsid w:val="00BF22F5"/>
    <w:rsid w:val="00BF3A51"/>
    <w:rsid w:val="00C240D8"/>
    <w:rsid w:val="00C31B89"/>
    <w:rsid w:val="00C32345"/>
    <w:rsid w:val="00C32358"/>
    <w:rsid w:val="00C54683"/>
    <w:rsid w:val="00C67BE4"/>
    <w:rsid w:val="00C74CEA"/>
    <w:rsid w:val="00C76251"/>
    <w:rsid w:val="00C762F1"/>
    <w:rsid w:val="00C77EBF"/>
    <w:rsid w:val="00C94A21"/>
    <w:rsid w:val="00CC2666"/>
    <w:rsid w:val="00CF05BC"/>
    <w:rsid w:val="00CF38DA"/>
    <w:rsid w:val="00CF6B6D"/>
    <w:rsid w:val="00D005FC"/>
    <w:rsid w:val="00D2700D"/>
    <w:rsid w:val="00D429A0"/>
    <w:rsid w:val="00D51D24"/>
    <w:rsid w:val="00DA6905"/>
    <w:rsid w:val="00DC551D"/>
    <w:rsid w:val="00DC57C4"/>
    <w:rsid w:val="00DD261A"/>
    <w:rsid w:val="00DD5C39"/>
    <w:rsid w:val="00DE1FAF"/>
    <w:rsid w:val="00DE42B7"/>
    <w:rsid w:val="00E00F46"/>
    <w:rsid w:val="00E02861"/>
    <w:rsid w:val="00E02AC6"/>
    <w:rsid w:val="00E137F2"/>
    <w:rsid w:val="00E16F7E"/>
    <w:rsid w:val="00E227B1"/>
    <w:rsid w:val="00E24903"/>
    <w:rsid w:val="00E35C25"/>
    <w:rsid w:val="00E50C67"/>
    <w:rsid w:val="00E611FC"/>
    <w:rsid w:val="00E63A34"/>
    <w:rsid w:val="00E65746"/>
    <w:rsid w:val="00E75221"/>
    <w:rsid w:val="00E76C7D"/>
    <w:rsid w:val="00EA543B"/>
    <w:rsid w:val="00EB2052"/>
    <w:rsid w:val="00ED21B7"/>
    <w:rsid w:val="00F31620"/>
    <w:rsid w:val="00F32576"/>
    <w:rsid w:val="00F61713"/>
    <w:rsid w:val="00F70601"/>
    <w:rsid w:val="00F7682E"/>
    <w:rsid w:val="00F858F8"/>
    <w:rsid w:val="00F865E7"/>
    <w:rsid w:val="00FB762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qFormat/>
    <w:rPr>
      <w:rFonts w:ascii="Courier New" w:hAnsi="Courier New"/>
    </w:rPr>
  </w:style>
  <w:style w:type="paragraph" w:customStyle="1" w:styleId="ae">
    <w:name w:val="Нормальный (таблица)"/>
    <w:basedOn w:val="a"/>
    <w:qFormat/>
  </w:style>
  <w:style w:type="paragraph" w:customStyle="1" w:styleId="af">
    <w:name w:val="Прижатый влево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qFormat/>
    <w:rPr>
      <w:rFonts w:ascii="Courier New" w:hAnsi="Courier New"/>
    </w:rPr>
  </w:style>
  <w:style w:type="paragraph" w:customStyle="1" w:styleId="ae">
    <w:name w:val="Нормальный (таблица)"/>
    <w:basedOn w:val="a"/>
    <w:qFormat/>
  </w:style>
  <w:style w:type="paragraph" w:customStyle="1" w:styleId="af">
    <w:name w:val="Прижатый влево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0F28-379B-418A-973B-ED62352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Пользователь Windows</cp:lastModifiedBy>
  <cp:revision>2</cp:revision>
  <cp:lastPrinted>2023-04-13T07:46:00Z</cp:lastPrinted>
  <dcterms:created xsi:type="dcterms:W3CDTF">2023-05-02T11:24:00Z</dcterms:created>
  <dcterms:modified xsi:type="dcterms:W3CDTF">2023-05-02T11:24:00Z</dcterms:modified>
  <dc:language>ru-RU</dc:language>
</cp:coreProperties>
</file>