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B" w:rsidRDefault="0032678B">
      <w:pP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noProof/>
          <w:color w:val="212121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D:\TumaevaVP\Рабочий стол\нефз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maevaVP\Рабочий стол\нефз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07" w:rsidRDefault="0032678B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Неформальная занятость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В настоящее время борьба с теневой экономикой становится жизненно необходимой.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Наиболее распространенное ее проявление - неформальная занятость, то есть работа без официального оформления трудовых отношений. Получая более высокую зарплату «в конверте», люди забывают, что теряют гораздо больше.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Трудовой кодекс Российской Федерации в обязательном порядке определил обязанность работодателей в оформлении трудовых отношений с работником при приеме на работу путем заключения трудового договора.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При этом, Трудовой кодекс подразделяет два типа договоров: гражданско-правовые и трудовые договоры.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Трудовое право в отличие от гражданского права имеет социальную направленность на защиту лиц наемного труда. Когда же работодатели заключают с работником гражданско-правовой договор: договор подряда, возмездного оказания услуг и пр., на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lastRenderedPageBreak/>
        <w:t>таких работников не распространяется трудовое законодательство, соответственно и не распространяются гарантии и компенсации.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Не оформление с работодателем трудовых отношений влечет за собой негативные последствия, как для работника, так и для работодателя: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работник остается без всех социальных гарантий;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работник также не защищен от травматизма и профессиональных заболеваний, т.к.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заболеваний»;</w:t>
      </w:r>
      <w:proofErr w:type="gramEnd"/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работник лишается гарантированного минимального </w:t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размера оплаты труда</w:t>
      </w:r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  <w:r>
        <w:rPr>
          <w:rFonts w:ascii="Segoe UI" w:hAnsi="Segoe UI" w:cs="Segoe UI"/>
          <w:color w:val="212121"/>
          <w:sz w:val="23"/>
          <w:szCs w:val="23"/>
        </w:rPr>
        <w:br/>
      </w:r>
    </w:p>
    <w:sectPr w:rsidR="00FE7307" w:rsidSect="00FE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8B"/>
    <w:rsid w:val="0032678B"/>
    <w:rsid w:val="00FE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1</cp:revision>
  <dcterms:created xsi:type="dcterms:W3CDTF">2024-12-20T08:00:00Z</dcterms:created>
  <dcterms:modified xsi:type="dcterms:W3CDTF">2024-12-20T08:02:00Z</dcterms:modified>
</cp:coreProperties>
</file>